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0D3680">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0D3680">
        <w:rPr>
          <w:rFonts w:ascii="Times New Roman" w:hAnsi="Times New Roman"/>
          <w:sz w:val="24"/>
        </w:rPr>
        <w:t>04151</w:t>
      </w:r>
      <w:bookmarkStart w:id="0" w:name="_GoBack"/>
      <w:bookmarkEnd w:id="0"/>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110F32">
        <w:rPr>
          <w:rFonts w:ascii="Arial" w:hAnsi="Arial" w:cs="Arial"/>
          <w:sz w:val="24"/>
          <w:lang w:val="en-US" w:eastAsia="zh-CN"/>
        </w:rPr>
        <w:t>Considerations on remaining open issues in OTA RRM test setups</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D6531" w:rsidRPr="00ED6531">
        <w:rPr>
          <w:rFonts w:ascii="Arial" w:hAnsi="Arial" w:cs="Arial"/>
          <w:sz w:val="24"/>
          <w:lang w:val="en-US" w:eastAsia="zh-CN"/>
        </w:rPr>
        <w:t>6.11.3.2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F53643" w:rsidRPr="00F53643" w:rsidRDefault="009E5FF1" w:rsidP="00F53643">
      <w:r>
        <w:t>In this contribution we provide further considerations on how various OTA test setups can be derived.</w:t>
      </w:r>
      <w:r w:rsidR="00787A1D">
        <w:t xml:space="preserve"> The discussion is based on the adhoc for NR RRM test cases </w:t>
      </w:r>
      <w:r w:rsidR="00787A1D">
        <w:fldChar w:fldCharType="begin"/>
      </w:r>
      <w:r w:rsidR="00787A1D">
        <w:instrText xml:space="preserve"> REF _Ref3987986 \r \h </w:instrText>
      </w:r>
      <w:r w:rsidR="00787A1D">
        <w:fldChar w:fldCharType="separate"/>
      </w:r>
      <w:r w:rsidR="00787A1D">
        <w:t>[1]</w:t>
      </w:r>
      <w:r w:rsidR="00787A1D">
        <w:fldChar w:fldCharType="end"/>
      </w:r>
      <w:r w:rsidR="00787A1D">
        <w:t xml:space="preserve"> and the way forward on open issues for FR2 RRM testing</w:t>
      </w:r>
      <w:r w:rsidR="00787A1D">
        <w:fldChar w:fldCharType="begin"/>
      </w:r>
      <w:r w:rsidR="00787A1D">
        <w:instrText xml:space="preserve"> REF _Ref4408575 \r \h </w:instrText>
      </w:r>
      <w:r w:rsidR="00787A1D">
        <w:fldChar w:fldCharType="separate"/>
      </w:r>
      <w:r w:rsidR="00787A1D">
        <w:t>[2]</w:t>
      </w:r>
      <w:r w:rsidR="00787A1D">
        <w:fldChar w:fldCharType="end"/>
      </w:r>
      <w:r w:rsidR="00787A1D">
        <w:t>.</w:t>
      </w:r>
    </w:p>
    <w:p w:rsidR="005813AA" w:rsidRDefault="005813AA" w:rsidP="005813AA">
      <w:pPr>
        <w:pStyle w:val="Heading1"/>
        <w:jc w:val="both"/>
        <w:rPr>
          <w:rFonts w:eastAsia="SimSun"/>
          <w:lang w:val="en-US" w:eastAsia="zh-CN"/>
        </w:rPr>
      </w:pPr>
      <w:r>
        <w:rPr>
          <w:rFonts w:eastAsia="SimSun"/>
          <w:lang w:val="en-US" w:eastAsia="zh-CN"/>
        </w:rPr>
        <w:t>Discussion</w:t>
      </w:r>
    </w:p>
    <w:p w:rsidR="00787A1D" w:rsidRDefault="00787A1D" w:rsidP="00787A1D">
      <w:pPr>
        <w:pStyle w:val="Heading2"/>
        <w:rPr>
          <w:lang w:val="en-US" w:eastAsia="zh-CN"/>
        </w:rPr>
      </w:pPr>
      <w:r>
        <w:rPr>
          <w:lang w:val="en-US" w:eastAsia="zh-CN"/>
        </w:rPr>
        <w:t>Antenna gain difference for 1 AoA</w:t>
      </w:r>
    </w:p>
    <w:p w:rsidR="00B21774" w:rsidRDefault="00B21774" w:rsidP="00B21774">
      <w:pPr>
        <w:pStyle w:val="Heading3"/>
        <w:rPr>
          <w:lang w:val="en-US" w:eastAsia="zh-CN"/>
        </w:rPr>
      </w:pPr>
      <w:r>
        <w:rPr>
          <w:lang w:val="en-US" w:eastAsia="zh-CN"/>
        </w:rPr>
        <w:t>Peak beam direction</w:t>
      </w:r>
    </w:p>
    <w:p w:rsidR="00787A1D" w:rsidRDefault="001D7386" w:rsidP="00787A1D">
      <w:pPr>
        <w:rPr>
          <w:lang w:val="en-US" w:eastAsia="zh-CN"/>
        </w:rPr>
      </w:pPr>
      <w:r>
        <w:rPr>
          <w:lang w:val="en-US" w:eastAsia="zh-CN"/>
        </w:rPr>
        <w:t>T</w:t>
      </w:r>
      <w:r w:rsidR="00787A1D" w:rsidRPr="00787A1D">
        <w:rPr>
          <w:lang w:val="en-US" w:eastAsia="zh-CN"/>
        </w:rPr>
        <w:t>he antenna gain difference between fine and rough beams in the RX beam peak direction</w:t>
      </w:r>
      <w:r>
        <w:rPr>
          <w:lang w:val="en-US" w:eastAsia="zh-CN"/>
        </w:rPr>
        <w:t xml:space="preserve"> </w:t>
      </w:r>
      <w:r w:rsidR="00787A1D">
        <w:rPr>
          <w:lang w:val="en-US" w:eastAsia="zh-CN"/>
        </w:rPr>
        <w:t>is decided as 7dB (Y).</w:t>
      </w:r>
    </w:p>
    <w:p w:rsidR="0003226D" w:rsidRPr="001D7386" w:rsidRDefault="00B21774" w:rsidP="00787A1D">
      <w:pPr>
        <w:rPr>
          <w:lang w:val="en-US" w:eastAsia="zh-CN"/>
        </w:rPr>
      </w:pPr>
      <w:r>
        <w:rPr>
          <w:lang w:val="en-US" w:eastAsia="zh-CN"/>
        </w:rPr>
        <w:t>For this to be applicable, the gain difference is the one measured using the EIS (fine beam) peak</w:t>
      </w:r>
      <w:r w:rsidR="001D7386">
        <w:rPr>
          <w:lang w:val="en-US" w:eastAsia="zh-CN"/>
        </w:rPr>
        <w:t xml:space="preserve"> and the rough beam in the same direction (</w:t>
      </w:r>
      <w:r w:rsidR="00ED6531">
        <w:rPr>
          <w:lang w:val="en-US" w:eastAsia="zh-CN"/>
        </w:rPr>
        <w:t>i.e.</w:t>
      </w:r>
      <w:r w:rsidR="001D7386">
        <w:rPr>
          <w:lang w:val="en-US" w:eastAsia="zh-CN"/>
        </w:rPr>
        <w:t xml:space="preserve"> fine beam beak)</w:t>
      </w:r>
      <w:r>
        <w:rPr>
          <w:lang w:val="en-US" w:eastAsia="zh-CN"/>
        </w:rPr>
        <w:t>. The rough beam peak gain direction may not be aligned with the fine beam peak, and indeed our understanding is that RAN4 has assumed that the rough beam peak gain would not occur in this direction as far as deriving Y=7.</w:t>
      </w:r>
    </w:p>
    <w:p w:rsidR="00787A1D" w:rsidRDefault="001D7386" w:rsidP="001D7386">
      <w:pPr>
        <w:pStyle w:val="Heading3"/>
        <w:rPr>
          <w:lang w:val="en-US" w:eastAsia="zh-CN"/>
        </w:rPr>
      </w:pPr>
      <w:r>
        <w:rPr>
          <w:lang w:val="en-US" w:eastAsia="zh-CN"/>
        </w:rPr>
        <w:t>Non peak beam direction</w:t>
      </w:r>
    </w:p>
    <w:p w:rsidR="001D7386" w:rsidRPr="001D7386" w:rsidRDefault="001D7386" w:rsidP="001D7386">
      <w:pPr>
        <w:rPr>
          <w:lang w:val="en-US" w:eastAsia="zh-CN"/>
        </w:rPr>
      </w:pPr>
      <w:r>
        <w:rPr>
          <w:lang w:val="en-US" w:eastAsia="zh-CN"/>
        </w:rPr>
        <w:t xml:space="preserve">For </w:t>
      </w:r>
      <w:r w:rsidR="00ED6531">
        <w:rPr>
          <w:lang w:val="en-US" w:eastAsia="zh-CN"/>
        </w:rPr>
        <w:t>non-peak</w:t>
      </w:r>
      <w:r>
        <w:rPr>
          <w:lang w:val="en-US" w:eastAsia="zh-CN"/>
        </w:rPr>
        <w:t xml:space="preserve"> beam direction, the antenna gain difference (Z) is still to be </w:t>
      </w:r>
      <w:r w:rsidR="00ED6531">
        <w:rPr>
          <w:lang w:val="en-US" w:eastAsia="zh-CN"/>
        </w:rPr>
        <w:t>decided</w:t>
      </w:r>
      <w:r>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1D7386" w:rsidRPr="006D29DC" w:rsidTr="006D29DC">
        <w:tc>
          <w:tcPr>
            <w:tcW w:w="10763" w:type="dxa"/>
            <w:shd w:val="clear" w:color="auto" w:fill="auto"/>
          </w:tcPr>
          <w:p w:rsidR="00E91133" w:rsidRPr="001D7386" w:rsidRDefault="006D29DC" w:rsidP="006D29DC">
            <w:pPr>
              <w:numPr>
                <w:ilvl w:val="1"/>
                <w:numId w:val="31"/>
              </w:numPr>
              <w:rPr>
                <w:lang w:eastAsia="zh-CN"/>
              </w:rPr>
            </w:pPr>
            <w:r w:rsidRPr="006D29DC">
              <w:rPr>
                <w:lang w:val="en-US" w:eastAsia="zh-CN"/>
              </w:rPr>
              <w:t>For non-peak beam direction</w:t>
            </w:r>
          </w:p>
          <w:p w:rsidR="00E91133" w:rsidRPr="001D7386" w:rsidRDefault="006D29DC" w:rsidP="006D29DC">
            <w:pPr>
              <w:numPr>
                <w:ilvl w:val="2"/>
                <w:numId w:val="31"/>
              </w:numPr>
              <w:rPr>
                <w:lang w:eastAsia="zh-CN"/>
              </w:rPr>
            </w:pPr>
            <w:r w:rsidRPr="006D29DC">
              <w:rPr>
                <w:lang w:val="en-US" w:eastAsia="zh-CN"/>
              </w:rPr>
              <w:t>Antenna gain difference for PC3 Z will be further studied in the RAN4#90bis meeting.</w:t>
            </w:r>
          </w:p>
          <w:p w:rsidR="00E91133" w:rsidRPr="001D7386" w:rsidRDefault="006D29DC" w:rsidP="006D29DC">
            <w:pPr>
              <w:numPr>
                <w:ilvl w:val="3"/>
                <w:numId w:val="31"/>
              </w:numPr>
              <w:rPr>
                <w:lang w:eastAsia="zh-CN"/>
              </w:rPr>
            </w:pPr>
            <w:r w:rsidRPr="006D29DC">
              <w:rPr>
                <w:lang w:val="en-US" w:eastAsia="zh-CN"/>
              </w:rPr>
              <w:t>Z is the antenna gain difference between “fine” and “rough” RX beams within 50% percentile EIS directions (Z is not band dependent).</w:t>
            </w:r>
          </w:p>
          <w:p w:rsidR="00E91133" w:rsidRPr="001D7386" w:rsidRDefault="006D29DC" w:rsidP="006D29DC">
            <w:pPr>
              <w:numPr>
                <w:ilvl w:val="3"/>
                <w:numId w:val="31"/>
              </w:numPr>
              <w:rPr>
                <w:lang w:eastAsia="zh-CN"/>
              </w:rPr>
            </w:pPr>
            <w:r w:rsidRPr="006D29DC">
              <w:rPr>
                <w:lang w:val="en-US" w:eastAsia="zh-CN"/>
              </w:rPr>
              <w:t>Companies are encouraged to provide analysis on this, and define Z at RAN4#90bis meeting.</w:t>
            </w:r>
          </w:p>
          <w:p w:rsidR="00E91133" w:rsidRPr="001D7386" w:rsidRDefault="006D29DC" w:rsidP="006D29DC">
            <w:pPr>
              <w:numPr>
                <w:ilvl w:val="2"/>
                <w:numId w:val="31"/>
              </w:numPr>
              <w:rPr>
                <w:lang w:eastAsia="zh-CN"/>
              </w:rPr>
            </w:pPr>
            <w:r w:rsidRPr="001D7386">
              <w:rPr>
                <w:lang w:eastAsia="zh-CN"/>
              </w:rPr>
              <w:t>Further evaluate how panel selection may impact the Z value, e.g., how to share 24 samples for FR2 measurement for PC3 UE</w:t>
            </w:r>
          </w:p>
          <w:p w:rsidR="001D7386" w:rsidRPr="006D29DC" w:rsidRDefault="001D7386" w:rsidP="00787A1D">
            <w:pPr>
              <w:rPr>
                <w:lang w:val="en-US" w:eastAsia="zh-CN"/>
              </w:rPr>
            </w:pPr>
          </w:p>
        </w:tc>
      </w:tr>
    </w:tbl>
    <w:p w:rsidR="001D7386" w:rsidRDefault="001D7386" w:rsidP="001D7386">
      <w:pPr>
        <w:pStyle w:val="3GPPNormalText"/>
        <w:rPr>
          <w:lang w:eastAsia="zh-CN"/>
        </w:rPr>
      </w:pPr>
    </w:p>
    <w:p w:rsidR="001D7386" w:rsidRDefault="001D7386" w:rsidP="001D7386">
      <w:pPr>
        <w:pStyle w:val="3GPPNormalText"/>
        <w:rPr>
          <w:lang w:eastAsia="zh-CN"/>
        </w:rPr>
      </w:pPr>
      <w:r>
        <w:rPr>
          <w:lang w:eastAsia="zh-CN"/>
        </w:rPr>
        <w:t>Our analysis is that it can be expected that Z</w:t>
      </w:r>
      <w:r>
        <w:rPr>
          <w:rFonts w:cs="Times New Roman"/>
          <w:lang w:eastAsia="zh-CN"/>
        </w:rPr>
        <w:t>≤</w:t>
      </w:r>
      <w:r>
        <w:rPr>
          <w:lang w:eastAsia="zh-CN"/>
        </w:rPr>
        <w:t>YdB. The reason is that Y is the difference between fine beams measured in their peak direction, and rough beams measured in an (assumed) non peak direction. Since Z is the difference between fine beams</w:t>
      </w:r>
      <w:r w:rsidR="00BD2227" w:rsidRPr="00BD2227">
        <w:rPr>
          <w:lang w:eastAsia="zh-CN"/>
        </w:rPr>
        <w:t xml:space="preserve"> </w:t>
      </w:r>
      <w:r w:rsidR="00BD2227">
        <w:rPr>
          <w:lang w:eastAsia="zh-CN"/>
        </w:rPr>
        <w:t>measured in their non peak direction, and rough beams also measured non peak direction. Hence, the fine beam gain is typically reduced, and the rough beam gain is typically unchanged.</w:t>
      </w:r>
    </w:p>
    <w:p w:rsidR="00BD2227" w:rsidRDefault="00BD2227" w:rsidP="001D7386">
      <w:pPr>
        <w:pStyle w:val="3GPPNormalText"/>
        <w:rPr>
          <w:lang w:eastAsia="zh-CN"/>
        </w:rPr>
      </w:pPr>
      <w:r>
        <w:rPr>
          <w:lang w:eastAsia="zh-CN"/>
        </w:rPr>
        <w:t xml:space="preserve">Additionally, we think that mismatch between fine beam and rough beam gain may have important implications at system level. In a separate contribution we present results of an initial system simulation study and investigate the difference in L1 SS-RSRP of the best transmitted beam (we assume that L1 SS-RSRP is measured with fine beams) when serving cell choice (based on L3 SS-RSRP)is made using different RX beamforming schemes. Based on this we </w:t>
      </w:r>
      <w:r w:rsidR="00ED6531">
        <w:rPr>
          <w:lang w:eastAsia="zh-CN"/>
        </w:rPr>
        <w:t>propose</w:t>
      </w:r>
    </w:p>
    <w:p w:rsidR="00BD2227" w:rsidRPr="00600E53" w:rsidRDefault="00BD2227" w:rsidP="00BD2227">
      <w:pPr>
        <w:rPr>
          <w:b/>
          <w:lang w:val="en-US" w:eastAsia="zh-CN"/>
        </w:rPr>
      </w:pPr>
      <w:r w:rsidRPr="00600E53">
        <w:rPr>
          <w:b/>
          <w:lang w:val="en-US" w:eastAsia="zh-CN"/>
        </w:rPr>
        <w:t xml:space="preserve">Proposal 1 : </w:t>
      </w:r>
      <w:r>
        <w:rPr>
          <w:b/>
          <w:lang w:val="en-US" w:eastAsia="zh-CN"/>
        </w:rPr>
        <w:t xml:space="preserve">RAN4 discusses suitable simulation models for rough and fine beam antenna and codebooks, and investigates at system level the impact of rough beam </w:t>
      </w:r>
    </w:p>
    <w:p w:rsidR="00BD2227" w:rsidRDefault="00BD2227" w:rsidP="00BD2227">
      <w:pPr>
        <w:rPr>
          <w:b/>
          <w:lang w:val="en-US" w:eastAsia="zh-CN"/>
        </w:rPr>
      </w:pPr>
      <w:r>
        <w:rPr>
          <w:b/>
          <w:lang w:val="en-US" w:eastAsia="zh-CN"/>
        </w:rPr>
        <w:lastRenderedPageBreak/>
        <w:t>Proposal 2: Interested companies perform system simulation until RAN4#91</w:t>
      </w:r>
    </w:p>
    <w:p w:rsidR="00BD2227" w:rsidRPr="00BD2227" w:rsidRDefault="00BD2227" w:rsidP="00BD2227">
      <w:pPr>
        <w:rPr>
          <w:b/>
          <w:lang w:val="en-US" w:eastAsia="zh-CN"/>
        </w:rPr>
      </w:pPr>
      <w:r w:rsidRPr="00B66B0E">
        <w:rPr>
          <w:b/>
          <w:lang w:val="en-US" w:eastAsia="zh-CN"/>
        </w:rPr>
        <w:t xml:space="preserve">Proposal 3: </w:t>
      </w:r>
      <w:r>
        <w:rPr>
          <w:b/>
          <w:lang w:val="en-US" w:eastAsia="zh-CN"/>
        </w:rPr>
        <w:t xml:space="preserve">The assumed gain difference between rough and fine beams for </w:t>
      </w:r>
      <w:r w:rsidR="00CB1809">
        <w:rPr>
          <w:b/>
          <w:lang w:val="en-US" w:eastAsia="zh-CN"/>
        </w:rPr>
        <w:t xml:space="preserve">1AoA setup 2 </w:t>
      </w:r>
      <w:r>
        <w:rPr>
          <w:b/>
          <w:lang w:val="en-US" w:eastAsia="zh-CN"/>
        </w:rPr>
        <w:t xml:space="preserve">RRM tests shall be based on a </w:t>
      </w:r>
      <w:r w:rsidR="00ED6531">
        <w:rPr>
          <w:b/>
          <w:lang w:val="en-US" w:eastAsia="zh-CN"/>
        </w:rPr>
        <w:t>criterion of acceptable degradation</w:t>
      </w:r>
      <w:r>
        <w:rPr>
          <w:b/>
          <w:lang w:val="en-US" w:eastAsia="zh-CN"/>
        </w:rPr>
        <w:t xml:space="preserve"> a</w:t>
      </w:r>
      <w:r w:rsidR="00ED6531">
        <w:rPr>
          <w:b/>
          <w:lang w:val="en-US" w:eastAsia="zh-CN"/>
        </w:rPr>
        <w:t>t</w:t>
      </w:r>
      <w:r>
        <w:rPr>
          <w:b/>
          <w:lang w:val="en-US" w:eastAsia="zh-CN"/>
        </w:rPr>
        <w:t xml:space="preserve"> system level</w:t>
      </w:r>
    </w:p>
    <w:p w:rsidR="00787A1D" w:rsidRDefault="001D7386" w:rsidP="001D7386">
      <w:pPr>
        <w:pStyle w:val="Heading2"/>
        <w:rPr>
          <w:lang w:val="en-US" w:eastAsia="zh-CN"/>
        </w:rPr>
      </w:pPr>
      <w:r>
        <w:rPr>
          <w:lang w:val="en-US" w:eastAsia="zh-CN"/>
        </w:rPr>
        <w:t>Antenna gain difference for 2 AoA</w:t>
      </w:r>
    </w:p>
    <w:p w:rsidR="00FD0067" w:rsidRPr="00FD0067" w:rsidRDefault="00FD0067" w:rsidP="00FD0067">
      <w:pPr>
        <w:rPr>
          <w:lang w:val="en-US" w:eastAsia="zh-CN"/>
        </w:rPr>
      </w:pPr>
      <w:r>
        <w:rPr>
          <w:lang w:val="en-US" w:eastAsia="zh-CN"/>
        </w:rPr>
        <w:t xml:space="preserve">The way forward for antenna gain </w:t>
      </w:r>
      <w:r w:rsidR="00ED6531">
        <w:rPr>
          <w:lang w:val="en-US" w:eastAsia="zh-CN"/>
        </w:rPr>
        <w:t>difference</w:t>
      </w:r>
      <w:r>
        <w:rPr>
          <w:lang w:val="en-US" w:eastAsia="zh-CN"/>
        </w:rPr>
        <w:t xml:space="preserve"> for 2AoA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BD2227" w:rsidRPr="006D29DC" w:rsidTr="006D29DC">
        <w:tc>
          <w:tcPr>
            <w:tcW w:w="10763" w:type="dxa"/>
            <w:shd w:val="clear" w:color="auto" w:fill="auto"/>
          </w:tcPr>
          <w:p w:rsidR="00E91133" w:rsidRPr="00BD2227" w:rsidRDefault="006D29DC" w:rsidP="006D29DC">
            <w:pPr>
              <w:numPr>
                <w:ilvl w:val="0"/>
                <w:numId w:val="32"/>
              </w:numPr>
              <w:rPr>
                <w:lang w:eastAsia="zh-CN"/>
              </w:rPr>
            </w:pPr>
            <w:r w:rsidRPr="006D29DC">
              <w:rPr>
                <w:lang w:val="en-US" w:eastAsia="zh-CN"/>
              </w:rPr>
              <w:t>Further study antenna gain difference for dual directions within 1 beam for 2AoA</w:t>
            </w:r>
          </w:p>
          <w:p w:rsidR="00BD2227" w:rsidRPr="00FD0067" w:rsidRDefault="006D29DC" w:rsidP="006D29DC">
            <w:pPr>
              <w:numPr>
                <w:ilvl w:val="1"/>
                <w:numId w:val="32"/>
              </w:numPr>
              <w:rPr>
                <w:lang w:eastAsia="zh-CN"/>
              </w:rPr>
            </w:pPr>
            <w:r w:rsidRPr="006D29DC">
              <w:rPr>
                <w:lang w:val="en-US" w:eastAsia="zh-CN"/>
              </w:rPr>
              <w:t>Companies are encouraged to bring analysis on antenna gain difference for PC3 UE fine/rough beams and assess the gain difference dependency on relative probe spacing.</w:t>
            </w:r>
          </w:p>
        </w:tc>
      </w:tr>
    </w:tbl>
    <w:p w:rsidR="00BD2227" w:rsidRDefault="00BD2227" w:rsidP="00BD2227">
      <w:pPr>
        <w:rPr>
          <w:lang w:val="en-US" w:eastAsia="zh-CN"/>
        </w:rPr>
      </w:pPr>
    </w:p>
    <w:p w:rsidR="00CB1809" w:rsidRDefault="00FD0067" w:rsidP="00CB1809">
      <w:r>
        <w:rPr>
          <w:lang w:val="en-US" w:eastAsia="zh-CN"/>
        </w:rPr>
        <w:t>The terminology “</w:t>
      </w:r>
      <w:r w:rsidRPr="00BD2227">
        <w:rPr>
          <w:lang w:val="en-US" w:eastAsia="zh-CN"/>
        </w:rPr>
        <w:t>within 1 beam for 2AoA</w:t>
      </w:r>
      <w:r>
        <w:rPr>
          <w:lang w:val="en-US" w:eastAsia="zh-CN"/>
        </w:rPr>
        <w:t>” seems unclear</w:t>
      </w:r>
      <w:r w:rsidR="00CB1809">
        <w:rPr>
          <w:lang w:val="en-US" w:eastAsia="zh-CN"/>
        </w:rPr>
        <w:t xml:space="preserve">. In our understanding this analysis is not to determine the gain difference from the different directions that shall be tested (38.810 indicates </w:t>
      </w:r>
      <w:r w:rsidR="00CB1809" w:rsidRPr="00CB1809">
        <w:rPr>
          <w:i/>
        </w:rPr>
        <w:t>For N</w:t>
      </w:r>
      <w:r w:rsidR="00CB1809" w:rsidRPr="00CB1809">
        <w:rPr>
          <w:i/>
          <w:vertAlign w:val="subscript"/>
        </w:rPr>
        <w:t>MAX_AoAs</w:t>
      </w:r>
      <w:r w:rsidR="00CB1809" w:rsidRPr="00CB1809">
        <w:rPr>
          <w:i/>
        </w:rPr>
        <w:t xml:space="preserve"> = 2 the setup shall enable following relative angular relationships between the N</w:t>
      </w:r>
      <w:r w:rsidR="00CB1809" w:rsidRPr="00CB1809">
        <w:rPr>
          <w:i/>
          <w:vertAlign w:val="subscript"/>
        </w:rPr>
        <w:t>MAX_AoAs</w:t>
      </w:r>
      <w:r w:rsidR="00CB1809" w:rsidRPr="00CB1809">
        <w:rPr>
          <w:i/>
        </w:rPr>
        <w:t xml:space="preserve"> simultaneously active AoAs: 30°, 60°, 90°, 120° and 150°.</w:t>
      </w:r>
      <w:r w:rsidR="00CB1809">
        <w:t>), but is rather than analysis for each of the tested AoA considered individually. Hence, in a 2AoA test case, the study relates to the difference between fine and rough beam for AoA 1, and the difference between fine and rough beam for AoA 2.</w:t>
      </w:r>
    </w:p>
    <w:p w:rsidR="00CB1809" w:rsidRPr="00CB1809" w:rsidRDefault="00ED6531" w:rsidP="00CB1809">
      <w:pPr>
        <w:rPr>
          <w:lang w:val="en-US" w:eastAsia="zh-CN"/>
        </w:rPr>
      </w:pPr>
      <w:r>
        <w:rPr>
          <w:lang w:val="en-US" w:eastAsia="zh-CN"/>
        </w:rPr>
        <w:t>Similarly,</w:t>
      </w:r>
      <w:r w:rsidR="00CB1809">
        <w:rPr>
          <w:lang w:val="en-US" w:eastAsia="zh-CN"/>
        </w:rPr>
        <w:t xml:space="preserve"> to proposal 3, our view is that acceptable degradation at system level should be a key criterion for deciding the gain difference to be assumed.</w:t>
      </w:r>
    </w:p>
    <w:p w:rsidR="00CB1809" w:rsidRPr="00BD2227" w:rsidRDefault="00CB1809" w:rsidP="00CB1809">
      <w:pPr>
        <w:rPr>
          <w:b/>
          <w:lang w:val="en-US" w:eastAsia="zh-CN"/>
        </w:rPr>
      </w:pPr>
      <w:r>
        <w:rPr>
          <w:b/>
          <w:lang w:val="en-US" w:eastAsia="zh-CN"/>
        </w:rPr>
        <w:t>Proposal 4:</w:t>
      </w:r>
      <w:r w:rsidRPr="00B66B0E">
        <w:rPr>
          <w:b/>
          <w:lang w:val="en-US" w:eastAsia="zh-CN"/>
        </w:rPr>
        <w:t xml:space="preserve"> </w:t>
      </w:r>
      <w:r>
        <w:rPr>
          <w:b/>
          <w:lang w:val="en-US" w:eastAsia="zh-CN"/>
        </w:rPr>
        <w:t xml:space="preserve">The assumed gain difference between rough and fine beams for 2AoA setup 3 RRM tests shall be based on a </w:t>
      </w:r>
      <w:r w:rsidR="00ED6531">
        <w:rPr>
          <w:b/>
          <w:lang w:val="en-US" w:eastAsia="zh-CN"/>
        </w:rPr>
        <w:t>criterion of acceptable degradation</w:t>
      </w:r>
      <w:r>
        <w:rPr>
          <w:b/>
          <w:lang w:val="en-US" w:eastAsia="zh-CN"/>
        </w:rPr>
        <w:t xml:space="preserve"> a system level</w:t>
      </w:r>
    </w:p>
    <w:p w:rsidR="00CB1809" w:rsidRDefault="00CB1809" w:rsidP="00CB1809">
      <w:pPr>
        <w:pStyle w:val="Heading2"/>
        <w:rPr>
          <w:lang w:val="en-US" w:eastAsia="zh-CN"/>
        </w:rPr>
      </w:pPr>
      <w:r>
        <w:rPr>
          <w:lang w:val="en-US" w:eastAsia="zh-CN"/>
        </w:rPr>
        <w:t>Simultaneous transmission</w:t>
      </w:r>
    </w:p>
    <w:p w:rsidR="00CB1809" w:rsidRDefault="00CB1809" w:rsidP="00CB1809">
      <w:pPr>
        <w:rPr>
          <w:lang w:val="en-US" w:eastAsia="zh-CN"/>
        </w:rPr>
      </w:pPr>
      <w:r>
        <w:rPr>
          <w:lang w:val="en-US" w:eastAsia="zh-CN"/>
        </w:rPr>
        <w:t>In RAN4#90 it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CB1809" w:rsidRPr="006D29DC" w:rsidTr="006D29DC">
        <w:tc>
          <w:tcPr>
            <w:tcW w:w="10763"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2"/>
            </w:tblGrid>
            <w:tr w:rsidR="00CB1809" w:rsidRPr="006D29DC" w:rsidTr="006D29DC">
              <w:tc>
                <w:tcPr>
                  <w:tcW w:w="10532" w:type="dxa"/>
                  <w:shd w:val="clear" w:color="auto" w:fill="auto"/>
                </w:tcPr>
                <w:p w:rsidR="00E91133" w:rsidRPr="00CB1809" w:rsidRDefault="006D29DC" w:rsidP="006D29DC">
                  <w:pPr>
                    <w:numPr>
                      <w:ilvl w:val="0"/>
                      <w:numId w:val="33"/>
                    </w:numPr>
                    <w:rPr>
                      <w:lang w:eastAsia="zh-CN"/>
                    </w:rPr>
                  </w:pPr>
                  <w:r w:rsidRPr="006D29DC">
                    <w:rPr>
                      <w:lang w:val="en-US" w:eastAsia="zh-CN"/>
                    </w:rPr>
                    <w:t xml:space="preserve">For 2AoA cases, </w:t>
                  </w:r>
                </w:p>
                <w:p w:rsidR="00E91133" w:rsidRPr="00CB1809" w:rsidRDefault="006D29DC" w:rsidP="006D29DC">
                  <w:pPr>
                    <w:numPr>
                      <w:ilvl w:val="1"/>
                      <w:numId w:val="33"/>
                    </w:numPr>
                    <w:rPr>
                      <w:lang w:eastAsia="zh-CN"/>
                    </w:rPr>
                  </w:pPr>
                  <w:r w:rsidRPr="006D29DC">
                    <w:rPr>
                      <w:lang w:val="en-US" w:eastAsia="zh-CN"/>
                    </w:rPr>
                    <w:t>TDM transmission approach for 2 probes is allowe</w:t>
                  </w:r>
                  <w:r w:rsidR="00427D0A" w:rsidRPr="006D29DC">
                    <w:rPr>
                      <w:lang w:val="en-US" w:eastAsia="zh-CN"/>
                    </w:rPr>
                    <w:t>dused</w:t>
                  </w:r>
                  <w:r w:rsidRPr="006D29DC">
                    <w:rPr>
                      <w:lang w:val="en-US" w:eastAsia="zh-CN"/>
                    </w:rPr>
                    <w:t>.</w:t>
                  </w:r>
                </w:p>
                <w:p w:rsidR="00E91133" w:rsidRPr="00CB1809" w:rsidRDefault="006D29DC" w:rsidP="006D29DC">
                  <w:pPr>
                    <w:numPr>
                      <w:ilvl w:val="1"/>
                      <w:numId w:val="33"/>
                    </w:numPr>
                    <w:rPr>
                      <w:lang w:eastAsia="zh-CN"/>
                    </w:rPr>
                  </w:pPr>
                  <w:r w:rsidRPr="006D29DC">
                    <w:rPr>
                      <w:lang w:val="en-US" w:eastAsia="zh-CN"/>
                    </w:rPr>
                    <w:t>For 2AoA cases, simultaneous transmission approach for 2 probes will be further studied.</w:t>
                  </w:r>
                </w:p>
                <w:p w:rsidR="00E91133" w:rsidRPr="00CB1809" w:rsidRDefault="006D29DC" w:rsidP="006D29DC">
                  <w:pPr>
                    <w:numPr>
                      <w:ilvl w:val="0"/>
                      <w:numId w:val="33"/>
                    </w:numPr>
                    <w:rPr>
                      <w:lang w:eastAsia="zh-CN"/>
                    </w:rPr>
                  </w:pPr>
                  <w:r w:rsidRPr="006D29DC">
                    <w:rPr>
                      <w:lang w:val="en-US" w:eastAsia="zh-CN"/>
                    </w:rPr>
                    <w:t>The antenna gain difference defined in this WF can be used to derive the FR2 RRM side condition.</w:t>
                  </w:r>
                </w:p>
                <w:p w:rsidR="00CB1809" w:rsidRPr="006D29DC" w:rsidRDefault="00CB1809" w:rsidP="00CB1809">
                  <w:pPr>
                    <w:rPr>
                      <w:lang w:val="en-US" w:eastAsia="zh-CN"/>
                    </w:rPr>
                  </w:pPr>
                </w:p>
              </w:tc>
            </w:tr>
          </w:tbl>
          <w:p w:rsidR="00CB1809" w:rsidRPr="006D29DC" w:rsidRDefault="00CB1809" w:rsidP="00CB1809">
            <w:pPr>
              <w:rPr>
                <w:lang w:val="en-US" w:eastAsia="zh-CN"/>
              </w:rPr>
            </w:pPr>
          </w:p>
        </w:tc>
      </w:tr>
    </w:tbl>
    <w:p w:rsidR="00CB1809" w:rsidRDefault="00CB1809" w:rsidP="00CB1809">
      <w:pPr>
        <w:rPr>
          <w:lang w:val="en-US" w:eastAsia="zh-CN"/>
        </w:rPr>
      </w:pPr>
    </w:p>
    <w:p w:rsidR="00427D0A" w:rsidRDefault="00427D0A" w:rsidP="00CB1809">
      <w:pPr>
        <w:rPr>
          <w:lang w:val="en-US" w:eastAsia="zh-CN"/>
        </w:rPr>
      </w:pPr>
      <w:r>
        <w:rPr>
          <w:lang w:val="en-US" w:eastAsia="zh-CN"/>
        </w:rPr>
        <w:t xml:space="preserve">Generally, our view is that it would be very difficult to determine a baseband SINR at the UE if both AoA are active simultaneously, whereas TDM transmission simplifies the analysis needed for the testing. Earlier we have proposed to solve the baseband SINR issue with an assumption that RX beamforming gives a gain (or at least no loss) compared with SINR at the antenna reference point, however this has not been agreed and may be difficult to ensure in all circumstances, even though it should normally be valid. </w:t>
      </w:r>
      <w:r w:rsidR="00ED6531">
        <w:rPr>
          <w:lang w:val="en-US" w:eastAsia="zh-CN"/>
        </w:rPr>
        <w:t>Hence,</w:t>
      </w:r>
      <w:r>
        <w:rPr>
          <w:lang w:val="en-US" w:eastAsia="zh-CN"/>
        </w:rPr>
        <w:t xml:space="preserve"> we think that the TDM approach is beneficial and support that it is used</w:t>
      </w:r>
    </w:p>
    <w:p w:rsidR="00427D0A" w:rsidRDefault="00427D0A" w:rsidP="00CB1809">
      <w:pPr>
        <w:rPr>
          <w:b/>
          <w:lang w:val="en-US" w:eastAsia="zh-CN"/>
        </w:rPr>
      </w:pPr>
      <w:r w:rsidRPr="00427D0A">
        <w:rPr>
          <w:b/>
          <w:lang w:val="en-US" w:eastAsia="zh-CN"/>
        </w:rPr>
        <w:t>Proposal 5 : TDM transmission approach for 2 probes shall be used</w:t>
      </w:r>
    </w:p>
    <w:p w:rsidR="00427D0A" w:rsidRPr="00427D0A" w:rsidRDefault="00427D0A" w:rsidP="00CB1809">
      <w:pPr>
        <w:rPr>
          <w:lang w:val="en-US" w:eastAsia="zh-CN"/>
        </w:rPr>
      </w:pPr>
      <w:r w:rsidRPr="00427D0A">
        <w:rPr>
          <w:lang w:val="en-US" w:eastAsia="zh-CN"/>
        </w:rPr>
        <w:t xml:space="preserve">Since </w:t>
      </w:r>
      <w:r>
        <w:rPr>
          <w:lang w:val="en-US" w:eastAsia="zh-CN"/>
        </w:rPr>
        <w:t>there remains much work to do to complete the OTA tests, we think it does not make sense to study the simultaneous transmission approach until the TDM approach is specified. In practice, this means that RAN4 should complete release 15 tests using the TDM approach before considering simultaneous transmission (either for release 15, or future release depending on the time when the analysis can be performed)</w:t>
      </w:r>
    </w:p>
    <w:p w:rsidR="00427D0A" w:rsidRPr="00427D0A" w:rsidRDefault="00427D0A" w:rsidP="00CB1809">
      <w:pPr>
        <w:rPr>
          <w:b/>
          <w:lang w:val="en-US" w:eastAsia="zh-CN"/>
        </w:rPr>
      </w:pPr>
      <w:r w:rsidRPr="00427D0A">
        <w:rPr>
          <w:b/>
          <w:lang w:val="en-US" w:eastAsia="zh-CN"/>
        </w:rPr>
        <w:t xml:space="preserve">Proposal 6: </w:t>
      </w:r>
      <w:r>
        <w:rPr>
          <w:b/>
          <w:lang w:val="en-US" w:eastAsia="zh-CN"/>
        </w:rPr>
        <w:t>RAN4 does not study simultaneous transmission for 2 probes until after the TDM method is specified.</w:t>
      </w:r>
    </w:p>
    <w:p w:rsidR="00427D0A" w:rsidRDefault="00427D0A" w:rsidP="00CB1809">
      <w:pPr>
        <w:rPr>
          <w:lang w:val="en-US" w:eastAsia="zh-CN"/>
        </w:rPr>
      </w:pPr>
      <w:r>
        <w:rPr>
          <w:lang w:val="en-US" w:eastAsia="zh-CN"/>
        </w:rPr>
        <w:t>One potential issue which we would like to highlight with the TDM approach is the transmission of SSBs. Since the 2AoA tests may have serving cell transmitted with one AoA and an intrafrequency neighbor transmitted with a different AoA, both cells need to have SSB with different time index to avoid both SSB being transmitted simultaneously. Even if SMTC1 and SMTC2 are used, there is no other way to avoid SSB collision, since SMTC1 is a subset of SMTC2.</w:t>
      </w:r>
    </w:p>
    <w:p w:rsidR="00427D0A" w:rsidRDefault="00A73725" w:rsidP="00CB1809">
      <w:pPr>
        <w:rPr>
          <w:b/>
          <w:lang w:val="en-US" w:eastAsia="zh-CN"/>
        </w:rPr>
      </w:pPr>
      <w:r>
        <w:rPr>
          <w:b/>
          <w:lang w:val="en-US" w:eastAsia="zh-CN"/>
        </w:rPr>
        <w:lastRenderedPageBreak/>
        <w:t xml:space="preserve">Proposal 7 : Different time indices are used for SSB in the TDM approach. </w:t>
      </w:r>
    </w:p>
    <w:p w:rsidR="0034168A" w:rsidRPr="0034168A" w:rsidRDefault="005813AA" w:rsidP="00BE0426">
      <w:pPr>
        <w:pStyle w:val="Heading1"/>
        <w:jc w:val="both"/>
        <w:rPr>
          <w:lang w:val="en-US" w:eastAsia="zh-CN"/>
        </w:rPr>
      </w:pPr>
      <w:r>
        <w:rPr>
          <w:rFonts w:eastAsia="SimSun"/>
          <w:lang w:val="en-US" w:eastAsia="zh-CN"/>
        </w:rPr>
        <w:t>Conclusion</w:t>
      </w:r>
    </w:p>
    <w:p w:rsidR="00875B67" w:rsidRPr="00600E53" w:rsidRDefault="00875B67" w:rsidP="00875B67">
      <w:pPr>
        <w:rPr>
          <w:b/>
          <w:lang w:val="en-US" w:eastAsia="zh-CN"/>
        </w:rPr>
      </w:pPr>
      <w:r w:rsidRPr="00600E53">
        <w:rPr>
          <w:b/>
          <w:lang w:val="en-US" w:eastAsia="zh-CN"/>
        </w:rPr>
        <w:t xml:space="preserve">Proposal 1 : </w:t>
      </w:r>
      <w:r>
        <w:rPr>
          <w:b/>
          <w:lang w:val="en-US" w:eastAsia="zh-CN"/>
        </w:rPr>
        <w:t xml:space="preserve">RAN4 discusses suitable simulation models for rough and fine beam antenna and codebooks, and investigates at system level the impact of rough beam </w:t>
      </w:r>
    </w:p>
    <w:p w:rsidR="00875B67" w:rsidRDefault="00875B67" w:rsidP="00875B67">
      <w:pPr>
        <w:rPr>
          <w:b/>
          <w:lang w:val="en-US" w:eastAsia="zh-CN"/>
        </w:rPr>
      </w:pPr>
      <w:r>
        <w:rPr>
          <w:b/>
          <w:lang w:val="en-US" w:eastAsia="zh-CN"/>
        </w:rPr>
        <w:t>Proposal 2: Interested companies perform system simulation until RAN4#91</w:t>
      </w:r>
    </w:p>
    <w:p w:rsidR="00875B67" w:rsidRPr="00BD2227" w:rsidRDefault="00875B67" w:rsidP="00875B67">
      <w:pPr>
        <w:rPr>
          <w:b/>
          <w:lang w:val="en-US" w:eastAsia="zh-CN"/>
        </w:rPr>
      </w:pPr>
      <w:r w:rsidRPr="00B66B0E">
        <w:rPr>
          <w:b/>
          <w:lang w:val="en-US" w:eastAsia="zh-CN"/>
        </w:rPr>
        <w:t xml:space="preserve">Proposal 3: </w:t>
      </w:r>
      <w:r>
        <w:rPr>
          <w:b/>
          <w:lang w:val="en-US" w:eastAsia="zh-CN"/>
        </w:rPr>
        <w:t xml:space="preserve">The assumed gain difference between rough and fine beams for 1AoA setup 2 RRM tests shall be based on a </w:t>
      </w:r>
      <w:r w:rsidR="00ED6531">
        <w:rPr>
          <w:b/>
          <w:lang w:val="en-US" w:eastAsia="zh-CN"/>
        </w:rPr>
        <w:t>criterion of acceptable degradation</w:t>
      </w:r>
      <w:r>
        <w:rPr>
          <w:b/>
          <w:lang w:val="en-US" w:eastAsia="zh-CN"/>
        </w:rPr>
        <w:t xml:space="preserve"> a system level</w:t>
      </w:r>
    </w:p>
    <w:p w:rsidR="00875B67" w:rsidRPr="00BD2227" w:rsidRDefault="00875B67" w:rsidP="00875B67">
      <w:pPr>
        <w:rPr>
          <w:b/>
          <w:lang w:val="en-US" w:eastAsia="zh-CN"/>
        </w:rPr>
      </w:pPr>
      <w:r>
        <w:rPr>
          <w:b/>
          <w:lang w:val="en-US" w:eastAsia="zh-CN"/>
        </w:rPr>
        <w:t>Proposal 4:</w:t>
      </w:r>
      <w:r w:rsidRPr="00B66B0E">
        <w:rPr>
          <w:b/>
          <w:lang w:val="en-US" w:eastAsia="zh-CN"/>
        </w:rPr>
        <w:t xml:space="preserve"> </w:t>
      </w:r>
      <w:r>
        <w:rPr>
          <w:b/>
          <w:lang w:val="en-US" w:eastAsia="zh-CN"/>
        </w:rPr>
        <w:t xml:space="preserve">The assumed gain difference between rough and fine beams for 2AoA setup 3 RRM tests shall be based on a </w:t>
      </w:r>
      <w:r w:rsidR="00ED6531">
        <w:rPr>
          <w:b/>
          <w:lang w:val="en-US" w:eastAsia="zh-CN"/>
        </w:rPr>
        <w:t>criterion of acceptable degradation</w:t>
      </w:r>
      <w:r>
        <w:rPr>
          <w:b/>
          <w:lang w:val="en-US" w:eastAsia="zh-CN"/>
        </w:rPr>
        <w:t xml:space="preserve"> a system level</w:t>
      </w:r>
    </w:p>
    <w:p w:rsidR="00875B67" w:rsidRDefault="00875B67" w:rsidP="00875B67">
      <w:pPr>
        <w:rPr>
          <w:b/>
          <w:lang w:val="en-US" w:eastAsia="zh-CN"/>
        </w:rPr>
      </w:pPr>
      <w:r w:rsidRPr="00427D0A">
        <w:rPr>
          <w:b/>
          <w:lang w:val="en-US" w:eastAsia="zh-CN"/>
        </w:rPr>
        <w:t>Proposal 5 : TDM transmission approach for 2 probes shall be used</w:t>
      </w:r>
    </w:p>
    <w:p w:rsidR="00875B67" w:rsidRPr="00427D0A" w:rsidRDefault="00875B67" w:rsidP="00875B67">
      <w:pPr>
        <w:rPr>
          <w:b/>
          <w:lang w:val="en-US" w:eastAsia="zh-CN"/>
        </w:rPr>
      </w:pPr>
      <w:r w:rsidRPr="00427D0A">
        <w:rPr>
          <w:b/>
          <w:lang w:val="en-US" w:eastAsia="zh-CN"/>
        </w:rPr>
        <w:t xml:space="preserve">Proposal 6: </w:t>
      </w:r>
      <w:r>
        <w:rPr>
          <w:b/>
          <w:lang w:val="en-US" w:eastAsia="zh-CN"/>
        </w:rPr>
        <w:t>RAN4 does not study simultaneous transmission for 2 probes until after the TDM method is specified.</w:t>
      </w:r>
    </w:p>
    <w:p w:rsidR="00875B67" w:rsidRDefault="00875B67" w:rsidP="00875B67">
      <w:pPr>
        <w:rPr>
          <w:b/>
          <w:lang w:val="en-US" w:eastAsia="zh-CN"/>
        </w:rPr>
      </w:pPr>
      <w:r>
        <w:rPr>
          <w:b/>
          <w:lang w:val="en-US" w:eastAsia="zh-CN"/>
        </w:rPr>
        <w:t xml:space="preserve">Proposal 7 : Different time indices are used for SSB in the TDM approach. </w:t>
      </w:r>
    </w:p>
    <w:p w:rsidR="005813AA" w:rsidRDefault="005813AA" w:rsidP="005813AA">
      <w:pPr>
        <w:pStyle w:val="Heading1"/>
        <w:jc w:val="both"/>
        <w:rPr>
          <w:rFonts w:eastAsia="SimSun"/>
          <w:lang w:val="en-US" w:eastAsia="zh-CN"/>
        </w:rPr>
      </w:pPr>
      <w:r>
        <w:rPr>
          <w:rFonts w:eastAsia="SimSun"/>
          <w:lang w:val="en-US" w:eastAsia="zh-CN"/>
        </w:rPr>
        <w:t>References</w:t>
      </w:r>
    </w:p>
    <w:p w:rsidR="00CE3B39" w:rsidRPr="00787A1D" w:rsidRDefault="0021632A" w:rsidP="0068368D">
      <w:pPr>
        <w:pStyle w:val="3GPPNormalText"/>
        <w:numPr>
          <w:ilvl w:val="0"/>
          <w:numId w:val="5"/>
        </w:numPr>
        <w:rPr>
          <w:szCs w:val="20"/>
          <w:lang w:eastAsia="zh-CN"/>
        </w:rPr>
      </w:pPr>
      <w:bookmarkStart w:id="2" w:name="_Ref3987986"/>
      <w:r w:rsidRPr="00787A1D">
        <w:rPr>
          <w:szCs w:val="20"/>
        </w:rPr>
        <w:t>R4-1902380, “Ad Hoc minutes for NR RRM test cases”, Huawei</w:t>
      </w:r>
      <w:bookmarkEnd w:id="2"/>
    </w:p>
    <w:p w:rsidR="005F15AB" w:rsidRPr="00787A1D" w:rsidRDefault="00787A1D" w:rsidP="00E17639">
      <w:pPr>
        <w:pStyle w:val="3GPPNormalText"/>
        <w:numPr>
          <w:ilvl w:val="0"/>
          <w:numId w:val="5"/>
        </w:numPr>
        <w:rPr>
          <w:szCs w:val="20"/>
          <w:lang w:eastAsia="zh-CN"/>
        </w:rPr>
      </w:pPr>
      <w:bookmarkStart w:id="3" w:name="_Ref4408575"/>
      <w:r w:rsidRPr="00787A1D">
        <w:rPr>
          <w:szCs w:val="20"/>
          <w:lang w:eastAsia="zh-CN"/>
        </w:rPr>
        <w:t>R4-1902525, ”Way forward on open issue for FR2 RRM testing” Qualcomm</w:t>
      </w:r>
      <w:bookmarkEnd w:id="3"/>
    </w:p>
    <w:sectPr w:rsidR="005F15AB" w:rsidRPr="00787A1D"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E74" w:rsidRDefault="00006E74">
      <w:r>
        <w:separator/>
      </w:r>
    </w:p>
  </w:endnote>
  <w:endnote w:type="continuationSeparator" w:id="0">
    <w:p w:rsidR="00006E74" w:rsidRDefault="0000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E74" w:rsidRDefault="00006E74">
      <w:r>
        <w:separator/>
      </w:r>
    </w:p>
  </w:footnote>
  <w:footnote w:type="continuationSeparator" w:id="0">
    <w:p w:rsidR="00006E74" w:rsidRDefault="00006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C6C390F"/>
    <w:multiLevelType w:val="hybridMultilevel"/>
    <w:tmpl w:val="8C74DF08"/>
    <w:lvl w:ilvl="0" w:tplc="E0500596">
      <w:start w:val="1"/>
      <w:numFmt w:val="bullet"/>
      <w:lvlText w:val="•"/>
      <w:lvlJc w:val="left"/>
      <w:pPr>
        <w:tabs>
          <w:tab w:val="num" w:pos="720"/>
        </w:tabs>
        <w:ind w:left="720" w:hanging="360"/>
      </w:pPr>
      <w:rPr>
        <w:rFonts w:ascii="Arial" w:hAnsi="Arial" w:hint="default"/>
      </w:rPr>
    </w:lvl>
    <w:lvl w:ilvl="1" w:tplc="A00A0F56">
      <w:start w:val="62"/>
      <w:numFmt w:val="bullet"/>
      <w:lvlText w:val="–"/>
      <w:lvlJc w:val="left"/>
      <w:pPr>
        <w:tabs>
          <w:tab w:val="num" w:pos="1440"/>
        </w:tabs>
        <w:ind w:left="1440" w:hanging="360"/>
      </w:pPr>
      <w:rPr>
        <w:rFonts w:ascii="Arial" w:hAnsi="Arial" w:hint="default"/>
      </w:rPr>
    </w:lvl>
    <w:lvl w:ilvl="2" w:tplc="A836B0CC" w:tentative="1">
      <w:start w:val="1"/>
      <w:numFmt w:val="bullet"/>
      <w:lvlText w:val="•"/>
      <w:lvlJc w:val="left"/>
      <w:pPr>
        <w:tabs>
          <w:tab w:val="num" w:pos="2160"/>
        </w:tabs>
        <w:ind w:left="2160" w:hanging="360"/>
      </w:pPr>
      <w:rPr>
        <w:rFonts w:ascii="Arial" w:hAnsi="Arial" w:hint="default"/>
      </w:rPr>
    </w:lvl>
    <w:lvl w:ilvl="3" w:tplc="302A3EEC" w:tentative="1">
      <w:start w:val="1"/>
      <w:numFmt w:val="bullet"/>
      <w:lvlText w:val="•"/>
      <w:lvlJc w:val="left"/>
      <w:pPr>
        <w:tabs>
          <w:tab w:val="num" w:pos="2880"/>
        </w:tabs>
        <w:ind w:left="2880" w:hanging="360"/>
      </w:pPr>
      <w:rPr>
        <w:rFonts w:ascii="Arial" w:hAnsi="Arial" w:hint="default"/>
      </w:rPr>
    </w:lvl>
    <w:lvl w:ilvl="4" w:tplc="31B0A7AE" w:tentative="1">
      <w:start w:val="1"/>
      <w:numFmt w:val="bullet"/>
      <w:lvlText w:val="•"/>
      <w:lvlJc w:val="left"/>
      <w:pPr>
        <w:tabs>
          <w:tab w:val="num" w:pos="3600"/>
        </w:tabs>
        <w:ind w:left="3600" w:hanging="360"/>
      </w:pPr>
      <w:rPr>
        <w:rFonts w:ascii="Arial" w:hAnsi="Arial" w:hint="default"/>
      </w:rPr>
    </w:lvl>
    <w:lvl w:ilvl="5" w:tplc="2C507C82" w:tentative="1">
      <w:start w:val="1"/>
      <w:numFmt w:val="bullet"/>
      <w:lvlText w:val="•"/>
      <w:lvlJc w:val="left"/>
      <w:pPr>
        <w:tabs>
          <w:tab w:val="num" w:pos="4320"/>
        </w:tabs>
        <w:ind w:left="4320" w:hanging="360"/>
      </w:pPr>
      <w:rPr>
        <w:rFonts w:ascii="Arial" w:hAnsi="Arial" w:hint="default"/>
      </w:rPr>
    </w:lvl>
    <w:lvl w:ilvl="6" w:tplc="FBBAD302" w:tentative="1">
      <w:start w:val="1"/>
      <w:numFmt w:val="bullet"/>
      <w:lvlText w:val="•"/>
      <w:lvlJc w:val="left"/>
      <w:pPr>
        <w:tabs>
          <w:tab w:val="num" w:pos="5040"/>
        </w:tabs>
        <w:ind w:left="5040" w:hanging="360"/>
      </w:pPr>
      <w:rPr>
        <w:rFonts w:ascii="Arial" w:hAnsi="Arial" w:hint="default"/>
      </w:rPr>
    </w:lvl>
    <w:lvl w:ilvl="7" w:tplc="9DC4DF3A" w:tentative="1">
      <w:start w:val="1"/>
      <w:numFmt w:val="bullet"/>
      <w:lvlText w:val="•"/>
      <w:lvlJc w:val="left"/>
      <w:pPr>
        <w:tabs>
          <w:tab w:val="num" w:pos="5760"/>
        </w:tabs>
        <w:ind w:left="5760" w:hanging="360"/>
      </w:pPr>
      <w:rPr>
        <w:rFonts w:ascii="Arial" w:hAnsi="Arial" w:hint="default"/>
      </w:rPr>
    </w:lvl>
    <w:lvl w:ilvl="8" w:tplc="675C9C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1525917"/>
    <w:multiLevelType w:val="hybridMultilevel"/>
    <w:tmpl w:val="10841988"/>
    <w:lvl w:ilvl="0" w:tplc="FAC63192">
      <w:start w:val="1"/>
      <w:numFmt w:val="bullet"/>
      <w:lvlText w:val="•"/>
      <w:lvlJc w:val="left"/>
      <w:pPr>
        <w:tabs>
          <w:tab w:val="num" w:pos="720"/>
        </w:tabs>
        <w:ind w:left="720" w:hanging="360"/>
      </w:pPr>
      <w:rPr>
        <w:rFonts w:ascii="Arial" w:hAnsi="Arial" w:hint="default"/>
      </w:rPr>
    </w:lvl>
    <w:lvl w:ilvl="1" w:tplc="0BDC32D2">
      <w:start w:val="62"/>
      <w:numFmt w:val="bullet"/>
      <w:lvlText w:val="–"/>
      <w:lvlJc w:val="left"/>
      <w:pPr>
        <w:tabs>
          <w:tab w:val="num" w:pos="1440"/>
        </w:tabs>
        <w:ind w:left="1440" w:hanging="360"/>
      </w:pPr>
      <w:rPr>
        <w:rFonts w:ascii="Arial" w:hAnsi="Arial" w:hint="default"/>
      </w:rPr>
    </w:lvl>
    <w:lvl w:ilvl="2" w:tplc="26D0458A" w:tentative="1">
      <w:start w:val="1"/>
      <w:numFmt w:val="bullet"/>
      <w:lvlText w:val="•"/>
      <w:lvlJc w:val="left"/>
      <w:pPr>
        <w:tabs>
          <w:tab w:val="num" w:pos="2160"/>
        </w:tabs>
        <w:ind w:left="2160" w:hanging="360"/>
      </w:pPr>
      <w:rPr>
        <w:rFonts w:ascii="Arial" w:hAnsi="Arial" w:hint="default"/>
      </w:rPr>
    </w:lvl>
    <w:lvl w:ilvl="3" w:tplc="34E45990" w:tentative="1">
      <w:start w:val="1"/>
      <w:numFmt w:val="bullet"/>
      <w:lvlText w:val="•"/>
      <w:lvlJc w:val="left"/>
      <w:pPr>
        <w:tabs>
          <w:tab w:val="num" w:pos="2880"/>
        </w:tabs>
        <w:ind w:left="2880" w:hanging="360"/>
      </w:pPr>
      <w:rPr>
        <w:rFonts w:ascii="Arial" w:hAnsi="Arial" w:hint="default"/>
      </w:rPr>
    </w:lvl>
    <w:lvl w:ilvl="4" w:tplc="5818F58C" w:tentative="1">
      <w:start w:val="1"/>
      <w:numFmt w:val="bullet"/>
      <w:lvlText w:val="•"/>
      <w:lvlJc w:val="left"/>
      <w:pPr>
        <w:tabs>
          <w:tab w:val="num" w:pos="3600"/>
        </w:tabs>
        <w:ind w:left="3600" w:hanging="360"/>
      </w:pPr>
      <w:rPr>
        <w:rFonts w:ascii="Arial" w:hAnsi="Arial" w:hint="default"/>
      </w:rPr>
    </w:lvl>
    <w:lvl w:ilvl="5" w:tplc="8F38C40E" w:tentative="1">
      <w:start w:val="1"/>
      <w:numFmt w:val="bullet"/>
      <w:lvlText w:val="•"/>
      <w:lvlJc w:val="left"/>
      <w:pPr>
        <w:tabs>
          <w:tab w:val="num" w:pos="4320"/>
        </w:tabs>
        <w:ind w:left="4320" w:hanging="360"/>
      </w:pPr>
      <w:rPr>
        <w:rFonts w:ascii="Arial" w:hAnsi="Arial" w:hint="default"/>
      </w:rPr>
    </w:lvl>
    <w:lvl w:ilvl="6" w:tplc="03F42B24" w:tentative="1">
      <w:start w:val="1"/>
      <w:numFmt w:val="bullet"/>
      <w:lvlText w:val="•"/>
      <w:lvlJc w:val="left"/>
      <w:pPr>
        <w:tabs>
          <w:tab w:val="num" w:pos="5040"/>
        </w:tabs>
        <w:ind w:left="5040" w:hanging="360"/>
      </w:pPr>
      <w:rPr>
        <w:rFonts w:ascii="Arial" w:hAnsi="Arial" w:hint="default"/>
      </w:rPr>
    </w:lvl>
    <w:lvl w:ilvl="7" w:tplc="6B6C8334" w:tentative="1">
      <w:start w:val="1"/>
      <w:numFmt w:val="bullet"/>
      <w:lvlText w:val="•"/>
      <w:lvlJc w:val="left"/>
      <w:pPr>
        <w:tabs>
          <w:tab w:val="num" w:pos="5760"/>
        </w:tabs>
        <w:ind w:left="5760" w:hanging="360"/>
      </w:pPr>
      <w:rPr>
        <w:rFonts w:ascii="Arial" w:hAnsi="Arial" w:hint="default"/>
      </w:rPr>
    </w:lvl>
    <w:lvl w:ilvl="8" w:tplc="CED68A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210928"/>
    <w:multiLevelType w:val="hybridMultilevel"/>
    <w:tmpl w:val="066A682C"/>
    <w:lvl w:ilvl="0" w:tplc="D382C04A">
      <w:start w:val="1"/>
      <w:numFmt w:val="bullet"/>
      <w:lvlText w:val="–"/>
      <w:lvlJc w:val="left"/>
      <w:pPr>
        <w:tabs>
          <w:tab w:val="num" w:pos="720"/>
        </w:tabs>
        <w:ind w:left="720" w:hanging="360"/>
      </w:pPr>
      <w:rPr>
        <w:rFonts w:ascii="Arial" w:hAnsi="Arial" w:hint="default"/>
      </w:rPr>
    </w:lvl>
    <w:lvl w:ilvl="1" w:tplc="6A1AEFE4">
      <w:start w:val="1"/>
      <w:numFmt w:val="bullet"/>
      <w:lvlText w:val="–"/>
      <w:lvlJc w:val="left"/>
      <w:pPr>
        <w:tabs>
          <w:tab w:val="num" w:pos="1440"/>
        </w:tabs>
        <w:ind w:left="1440" w:hanging="360"/>
      </w:pPr>
      <w:rPr>
        <w:rFonts w:ascii="Arial" w:hAnsi="Arial" w:hint="default"/>
      </w:rPr>
    </w:lvl>
    <w:lvl w:ilvl="2" w:tplc="8A067C74">
      <w:start w:val="62"/>
      <w:numFmt w:val="bullet"/>
      <w:lvlText w:val="•"/>
      <w:lvlJc w:val="left"/>
      <w:pPr>
        <w:tabs>
          <w:tab w:val="num" w:pos="2160"/>
        </w:tabs>
        <w:ind w:left="2160" w:hanging="360"/>
      </w:pPr>
      <w:rPr>
        <w:rFonts w:ascii="Arial" w:hAnsi="Arial" w:hint="default"/>
      </w:rPr>
    </w:lvl>
    <w:lvl w:ilvl="3" w:tplc="F0A8ED20">
      <w:start w:val="62"/>
      <w:numFmt w:val="bullet"/>
      <w:lvlText w:val="–"/>
      <w:lvlJc w:val="left"/>
      <w:pPr>
        <w:tabs>
          <w:tab w:val="num" w:pos="2880"/>
        </w:tabs>
        <w:ind w:left="2880" w:hanging="360"/>
      </w:pPr>
      <w:rPr>
        <w:rFonts w:ascii="Arial" w:hAnsi="Arial" w:hint="default"/>
      </w:rPr>
    </w:lvl>
    <w:lvl w:ilvl="4" w:tplc="67B03246" w:tentative="1">
      <w:start w:val="1"/>
      <w:numFmt w:val="bullet"/>
      <w:lvlText w:val="–"/>
      <w:lvlJc w:val="left"/>
      <w:pPr>
        <w:tabs>
          <w:tab w:val="num" w:pos="3600"/>
        </w:tabs>
        <w:ind w:left="3600" w:hanging="360"/>
      </w:pPr>
      <w:rPr>
        <w:rFonts w:ascii="Arial" w:hAnsi="Arial" w:hint="default"/>
      </w:rPr>
    </w:lvl>
    <w:lvl w:ilvl="5" w:tplc="1534D2EE" w:tentative="1">
      <w:start w:val="1"/>
      <w:numFmt w:val="bullet"/>
      <w:lvlText w:val="–"/>
      <w:lvlJc w:val="left"/>
      <w:pPr>
        <w:tabs>
          <w:tab w:val="num" w:pos="4320"/>
        </w:tabs>
        <w:ind w:left="4320" w:hanging="360"/>
      </w:pPr>
      <w:rPr>
        <w:rFonts w:ascii="Arial" w:hAnsi="Arial" w:hint="default"/>
      </w:rPr>
    </w:lvl>
    <w:lvl w:ilvl="6" w:tplc="862E225A" w:tentative="1">
      <w:start w:val="1"/>
      <w:numFmt w:val="bullet"/>
      <w:lvlText w:val="–"/>
      <w:lvlJc w:val="left"/>
      <w:pPr>
        <w:tabs>
          <w:tab w:val="num" w:pos="5040"/>
        </w:tabs>
        <w:ind w:left="5040" w:hanging="360"/>
      </w:pPr>
      <w:rPr>
        <w:rFonts w:ascii="Arial" w:hAnsi="Arial" w:hint="default"/>
      </w:rPr>
    </w:lvl>
    <w:lvl w:ilvl="7" w:tplc="44888342" w:tentative="1">
      <w:start w:val="1"/>
      <w:numFmt w:val="bullet"/>
      <w:lvlText w:val="–"/>
      <w:lvlJc w:val="left"/>
      <w:pPr>
        <w:tabs>
          <w:tab w:val="num" w:pos="5760"/>
        </w:tabs>
        <w:ind w:left="5760" w:hanging="360"/>
      </w:pPr>
      <w:rPr>
        <w:rFonts w:ascii="Arial" w:hAnsi="Arial" w:hint="default"/>
      </w:rPr>
    </w:lvl>
    <w:lvl w:ilvl="8" w:tplc="E95043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2"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8"/>
  </w:num>
  <w:num w:numId="2">
    <w:abstractNumId w:val="27"/>
  </w:num>
  <w:num w:numId="3">
    <w:abstractNumId w:val="31"/>
  </w:num>
  <w:num w:numId="4">
    <w:abstractNumId w:val="10"/>
  </w:num>
  <w:num w:numId="5">
    <w:abstractNumId w:val="14"/>
  </w:num>
  <w:num w:numId="6">
    <w:abstractNumId w:val="5"/>
  </w:num>
  <w:num w:numId="7">
    <w:abstractNumId w:val="8"/>
  </w:num>
  <w:num w:numId="8">
    <w:abstractNumId w:val="26"/>
  </w:num>
  <w:num w:numId="9">
    <w:abstractNumId w:val="22"/>
  </w:num>
  <w:num w:numId="10">
    <w:abstractNumId w:val="21"/>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0"/>
  </w:num>
  <w:num w:numId="13">
    <w:abstractNumId w:val="1"/>
  </w:num>
  <w:num w:numId="14">
    <w:abstractNumId w:val="24"/>
  </w:num>
  <w:num w:numId="15">
    <w:abstractNumId w:val="6"/>
  </w:num>
  <w:num w:numId="16">
    <w:abstractNumId w:val="2"/>
  </w:num>
  <w:num w:numId="17">
    <w:abstractNumId w:val="19"/>
  </w:num>
  <w:num w:numId="18">
    <w:abstractNumId w:val="16"/>
  </w:num>
  <w:num w:numId="19">
    <w:abstractNumId w:val="3"/>
  </w:num>
  <w:num w:numId="20">
    <w:abstractNumId w:val="12"/>
  </w:num>
  <w:num w:numId="21">
    <w:abstractNumId w:val="13"/>
  </w:num>
  <w:num w:numId="22">
    <w:abstractNumId w:val="9"/>
  </w:num>
  <w:num w:numId="23">
    <w:abstractNumId w:val="32"/>
  </w:num>
  <w:num w:numId="24">
    <w:abstractNumId w:val="30"/>
  </w:num>
  <w:num w:numId="25">
    <w:abstractNumId w:val="25"/>
  </w:num>
  <w:num w:numId="26">
    <w:abstractNumId w:val="7"/>
  </w:num>
  <w:num w:numId="27">
    <w:abstractNumId w:val="29"/>
  </w:num>
  <w:num w:numId="28">
    <w:abstractNumId w:val="28"/>
  </w:num>
  <w:num w:numId="29">
    <w:abstractNumId w:val="17"/>
  </w:num>
  <w:num w:numId="30">
    <w:abstractNumId w:val="15"/>
  </w:num>
  <w:num w:numId="31">
    <w:abstractNumId w:val="23"/>
  </w:num>
  <w:num w:numId="32">
    <w:abstractNumId w:val="4"/>
  </w:num>
  <w:num w:numId="3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06E74"/>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26D"/>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680"/>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0F3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E61"/>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386"/>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27D0A"/>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29DC"/>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87A1D"/>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E16"/>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B67"/>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5FF1"/>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725"/>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8E0"/>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774"/>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27"/>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809"/>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33"/>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6531"/>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43"/>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067"/>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06A"/>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1AFA4E"/>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180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73942557">
      <w:bodyDiv w:val="1"/>
      <w:marLeft w:val="0"/>
      <w:marRight w:val="0"/>
      <w:marTop w:val="0"/>
      <w:marBottom w:val="0"/>
      <w:divBdr>
        <w:top w:val="none" w:sz="0" w:space="0" w:color="auto"/>
        <w:left w:val="none" w:sz="0" w:space="0" w:color="auto"/>
        <w:bottom w:val="none" w:sz="0" w:space="0" w:color="auto"/>
        <w:right w:val="none" w:sz="0" w:space="0" w:color="auto"/>
      </w:divBdr>
      <w:divsChild>
        <w:div w:id="728188659">
          <w:marLeft w:val="1166"/>
          <w:marRight w:val="0"/>
          <w:marTop w:val="96"/>
          <w:marBottom w:val="0"/>
          <w:divBdr>
            <w:top w:val="none" w:sz="0" w:space="0" w:color="auto"/>
            <w:left w:val="none" w:sz="0" w:space="0" w:color="auto"/>
            <w:bottom w:val="none" w:sz="0" w:space="0" w:color="auto"/>
            <w:right w:val="none" w:sz="0" w:space="0" w:color="auto"/>
          </w:divBdr>
        </w:div>
        <w:div w:id="2045934325">
          <w:marLeft w:val="1800"/>
          <w:marRight w:val="0"/>
          <w:marTop w:val="86"/>
          <w:marBottom w:val="0"/>
          <w:divBdr>
            <w:top w:val="none" w:sz="0" w:space="0" w:color="auto"/>
            <w:left w:val="none" w:sz="0" w:space="0" w:color="auto"/>
            <w:bottom w:val="none" w:sz="0" w:space="0" w:color="auto"/>
            <w:right w:val="none" w:sz="0" w:space="0" w:color="auto"/>
          </w:divBdr>
        </w:div>
        <w:div w:id="1561624554">
          <w:marLeft w:val="2520"/>
          <w:marRight w:val="0"/>
          <w:marTop w:val="77"/>
          <w:marBottom w:val="0"/>
          <w:divBdr>
            <w:top w:val="none" w:sz="0" w:space="0" w:color="auto"/>
            <w:left w:val="none" w:sz="0" w:space="0" w:color="auto"/>
            <w:bottom w:val="none" w:sz="0" w:space="0" w:color="auto"/>
            <w:right w:val="none" w:sz="0" w:space="0" w:color="auto"/>
          </w:divBdr>
        </w:div>
        <w:div w:id="1534030698">
          <w:marLeft w:val="2520"/>
          <w:marRight w:val="0"/>
          <w:marTop w:val="77"/>
          <w:marBottom w:val="0"/>
          <w:divBdr>
            <w:top w:val="none" w:sz="0" w:space="0" w:color="auto"/>
            <w:left w:val="none" w:sz="0" w:space="0" w:color="auto"/>
            <w:bottom w:val="none" w:sz="0" w:space="0" w:color="auto"/>
            <w:right w:val="none" w:sz="0" w:space="0" w:color="auto"/>
          </w:divBdr>
        </w:div>
        <w:div w:id="469566014">
          <w:marLeft w:val="1800"/>
          <w:marRight w:val="0"/>
          <w:marTop w:val="86"/>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2920340">
      <w:bodyDiv w:val="1"/>
      <w:marLeft w:val="0"/>
      <w:marRight w:val="0"/>
      <w:marTop w:val="0"/>
      <w:marBottom w:val="0"/>
      <w:divBdr>
        <w:top w:val="none" w:sz="0" w:space="0" w:color="auto"/>
        <w:left w:val="none" w:sz="0" w:space="0" w:color="auto"/>
        <w:bottom w:val="none" w:sz="0" w:space="0" w:color="auto"/>
        <w:right w:val="none" w:sz="0" w:space="0" w:color="auto"/>
      </w:divBdr>
      <w:divsChild>
        <w:div w:id="1422948437">
          <w:marLeft w:val="2520"/>
          <w:marRight w:val="0"/>
          <w:marTop w:val="77"/>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8224602">
      <w:bodyDiv w:val="1"/>
      <w:marLeft w:val="0"/>
      <w:marRight w:val="0"/>
      <w:marTop w:val="0"/>
      <w:marBottom w:val="0"/>
      <w:divBdr>
        <w:top w:val="none" w:sz="0" w:space="0" w:color="auto"/>
        <w:left w:val="none" w:sz="0" w:space="0" w:color="auto"/>
        <w:bottom w:val="none" w:sz="0" w:space="0" w:color="auto"/>
        <w:right w:val="none" w:sz="0" w:space="0" w:color="auto"/>
      </w:divBdr>
      <w:divsChild>
        <w:div w:id="244265335">
          <w:marLeft w:val="547"/>
          <w:marRight w:val="0"/>
          <w:marTop w:val="115"/>
          <w:marBottom w:val="0"/>
          <w:divBdr>
            <w:top w:val="none" w:sz="0" w:space="0" w:color="auto"/>
            <w:left w:val="none" w:sz="0" w:space="0" w:color="auto"/>
            <w:bottom w:val="none" w:sz="0" w:space="0" w:color="auto"/>
            <w:right w:val="none" w:sz="0" w:space="0" w:color="auto"/>
          </w:divBdr>
        </w:div>
        <w:div w:id="1725833803">
          <w:marLeft w:val="1166"/>
          <w:marRight w:val="0"/>
          <w:marTop w:val="9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29623026">
      <w:bodyDiv w:val="1"/>
      <w:marLeft w:val="0"/>
      <w:marRight w:val="0"/>
      <w:marTop w:val="0"/>
      <w:marBottom w:val="0"/>
      <w:divBdr>
        <w:top w:val="none" w:sz="0" w:space="0" w:color="auto"/>
        <w:left w:val="none" w:sz="0" w:space="0" w:color="auto"/>
        <w:bottom w:val="none" w:sz="0" w:space="0" w:color="auto"/>
        <w:right w:val="none" w:sz="0" w:space="0" w:color="auto"/>
      </w:divBdr>
      <w:divsChild>
        <w:div w:id="743993678">
          <w:marLeft w:val="547"/>
          <w:marRight w:val="0"/>
          <w:marTop w:val="115"/>
          <w:marBottom w:val="0"/>
          <w:divBdr>
            <w:top w:val="none" w:sz="0" w:space="0" w:color="auto"/>
            <w:left w:val="none" w:sz="0" w:space="0" w:color="auto"/>
            <w:bottom w:val="none" w:sz="0" w:space="0" w:color="auto"/>
            <w:right w:val="none" w:sz="0" w:space="0" w:color="auto"/>
          </w:divBdr>
        </w:div>
        <w:div w:id="1780877895">
          <w:marLeft w:val="1166"/>
          <w:marRight w:val="0"/>
          <w:marTop w:val="96"/>
          <w:marBottom w:val="0"/>
          <w:divBdr>
            <w:top w:val="none" w:sz="0" w:space="0" w:color="auto"/>
            <w:left w:val="none" w:sz="0" w:space="0" w:color="auto"/>
            <w:bottom w:val="none" w:sz="0" w:space="0" w:color="auto"/>
            <w:right w:val="none" w:sz="0" w:space="0" w:color="auto"/>
          </w:divBdr>
        </w:div>
        <w:div w:id="642929408">
          <w:marLeft w:val="1166"/>
          <w:marRight w:val="0"/>
          <w:marTop w:val="96"/>
          <w:marBottom w:val="0"/>
          <w:divBdr>
            <w:top w:val="none" w:sz="0" w:space="0" w:color="auto"/>
            <w:left w:val="none" w:sz="0" w:space="0" w:color="auto"/>
            <w:bottom w:val="none" w:sz="0" w:space="0" w:color="auto"/>
            <w:right w:val="none" w:sz="0" w:space="0" w:color="auto"/>
          </w:divBdr>
        </w:div>
        <w:div w:id="1644387697">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7777853">
      <w:bodyDiv w:val="1"/>
      <w:marLeft w:val="0"/>
      <w:marRight w:val="0"/>
      <w:marTop w:val="0"/>
      <w:marBottom w:val="0"/>
      <w:divBdr>
        <w:top w:val="none" w:sz="0" w:space="0" w:color="auto"/>
        <w:left w:val="none" w:sz="0" w:space="0" w:color="auto"/>
        <w:bottom w:val="none" w:sz="0" w:space="0" w:color="auto"/>
        <w:right w:val="none" w:sz="0" w:space="0" w:color="auto"/>
      </w:divBdr>
      <w:divsChild>
        <w:div w:id="1388987202">
          <w:marLeft w:val="2520"/>
          <w:marRight w:val="0"/>
          <w:marTop w:val="77"/>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6BBAFE95-F571-4366-AF1B-9F73092C6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2019-04-01T11:17:00Z</dcterms:created>
  <dcterms:modified xsi:type="dcterms:W3CDTF">2019-04-01T15:31:00Z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